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12A" w:rsidRDefault="00EF5E82">
      <w:pPr>
        <w:widowControl/>
        <w:snapToGrid w:val="0"/>
        <w:spacing w:line="360" w:lineRule="auto"/>
        <w:jc w:val="center"/>
        <w:rPr>
          <w:rFonts w:ascii="楷体_GB2312" w:eastAsia="楷体_GB2312" w:hAnsi="楷体_GB2312" w:cs="宋体"/>
          <w:sz w:val="28"/>
          <w:szCs w:val="24"/>
        </w:rPr>
      </w:pPr>
      <w:r>
        <w:rPr>
          <w:rFonts w:ascii="楷体_GB2312" w:eastAsia="楷体_GB2312" w:hAnsi="楷体_GB2312" w:cs="宋体" w:hint="eastAsia"/>
          <w:sz w:val="28"/>
          <w:szCs w:val="24"/>
        </w:rPr>
        <w:t>809（民法学、经济法学、刑法学）</w:t>
      </w:r>
    </w:p>
    <w:p w:rsidR="00A33142" w:rsidRDefault="00A33142">
      <w:pPr>
        <w:widowControl/>
        <w:snapToGrid w:val="0"/>
        <w:spacing w:line="360" w:lineRule="auto"/>
        <w:jc w:val="center"/>
        <w:rPr>
          <w:rFonts w:ascii="黑体" w:eastAsia="黑体" w:hAnsi="黑体"/>
          <w:color w:val="FF0000"/>
          <w:szCs w:val="21"/>
        </w:rPr>
      </w:pPr>
      <w:r w:rsidRPr="006A0F55">
        <w:rPr>
          <w:rFonts w:ascii="黑体" w:eastAsia="黑体" w:hAnsi="黑体" w:hint="eastAsia"/>
          <w:color w:val="FF0000"/>
          <w:szCs w:val="21"/>
        </w:rPr>
        <w:t>（研究生招生考试属于择优选拔性考试，考试大纲及书目仅供参考，考试内容及题型可包括但不仅限于以上范围，主要考察考生分析和解决问题的能力。）</w:t>
      </w:r>
    </w:p>
    <w:p w:rsidR="002D58BB" w:rsidRDefault="002D58BB">
      <w:pPr>
        <w:widowControl/>
        <w:snapToGrid w:val="0"/>
        <w:spacing w:line="360" w:lineRule="auto"/>
        <w:jc w:val="center"/>
        <w:rPr>
          <w:rFonts w:ascii="楷体_GB2312" w:eastAsia="楷体_GB2312" w:hAnsi="楷体_GB2312" w:cs="宋体"/>
          <w:sz w:val="28"/>
          <w:szCs w:val="24"/>
        </w:rPr>
      </w:pPr>
    </w:p>
    <w:p w:rsidR="00E028E8" w:rsidRDefault="00E028E8" w:rsidP="00E028E8">
      <w:pPr>
        <w:widowControl/>
        <w:snapToGrid w:val="0"/>
        <w:spacing w:line="360" w:lineRule="auto"/>
        <w:jc w:val="center"/>
        <w:textAlignment w:val="baseline"/>
        <w:rPr>
          <w:rFonts w:ascii="楷体_GB2312" w:eastAsia="楷体_GB2312" w:hAnsi="宋体" w:cs="宋体"/>
          <w:b/>
          <w:sz w:val="36"/>
        </w:rPr>
      </w:pPr>
      <w:r>
        <w:rPr>
          <w:rFonts w:ascii="楷体_GB2312" w:eastAsia="楷体_GB2312" w:hAnsi="宋体" w:cs="宋体" w:hint="eastAsia"/>
          <w:b/>
          <w:sz w:val="36"/>
        </w:rPr>
        <w:t>《民法学》科目考试大纲（50分）</w:t>
      </w:r>
    </w:p>
    <w:p w:rsidR="00E028E8" w:rsidRDefault="00E028E8" w:rsidP="00E028E8">
      <w:pPr>
        <w:widowControl/>
        <w:snapToGrid w:val="0"/>
        <w:spacing w:before="156" w:line="360" w:lineRule="auto"/>
        <w:ind w:firstLineChars="200" w:firstLine="643"/>
        <w:textAlignment w:val="baseline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一、</w:t>
      </w:r>
      <w:r>
        <w:rPr>
          <w:rFonts w:ascii="楷体_GB2312" w:eastAsia="楷体_GB2312" w:hint="eastAsia"/>
          <w:b/>
          <w:bCs/>
          <w:sz w:val="32"/>
          <w:szCs w:val="32"/>
        </w:rPr>
        <w:t>涵盖范围及基本内容</w:t>
      </w:r>
    </w:p>
    <w:p w:rsidR="00E028E8" w:rsidRDefault="00E028E8" w:rsidP="00E028E8">
      <w:pPr>
        <w:widowControl/>
        <w:snapToGrid w:val="0"/>
        <w:spacing w:before="120"/>
        <w:textAlignment w:val="baseline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 xml:space="preserve">  </w:t>
      </w:r>
      <w:r>
        <w:rPr>
          <w:rFonts w:ascii="楷体_GB2312" w:eastAsia="楷体_GB2312" w:hint="eastAsia"/>
          <w:bCs/>
          <w:sz w:val="28"/>
          <w:szCs w:val="28"/>
        </w:rPr>
        <w:t xml:space="preserve"> （一）民法总论</w:t>
      </w:r>
    </w:p>
    <w:p w:rsidR="00E028E8" w:rsidRDefault="00E028E8" w:rsidP="00E028E8">
      <w:pPr>
        <w:widowControl/>
        <w:snapToGrid w:val="0"/>
        <w:spacing w:before="240"/>
        <w:textAlignment w:val="baseline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 xml:space="preserve">    民法基础原理；民法基本原则；民事法律关系及其三要素；民事主体制度；民事权利；民事权利客体；民事法律行为；代理；民事责任；诉讼时效</w:t>
      </w:r>
    </w:p>
    <w:p w:rsidR="00E028E8" w:rsidRDefault="00E028E8" w:rsidP="00E028E8">
      <w:pPr>
        <w:widowControl/>
        <w:snapToGrid w:val="0"/>
        <w:spacing w:before="240"/>
        <w:ind w:firstLineChars="147" w:firstLine="412"/>
        <w:textAlignment w:val="baseline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（二）物权</w:t>
      </w:r>
    </w:p>
    <w:p w:rsidR="00E028E8" w:rsidRDefault="00E028E8" w:rsidP="00E028E8">
      <w:pPr>
        <w:widowControl/>
        <w:snapToGrid w:val="0"/>
        <w:spacing w:before="120"/>
        <w:textAlignment w:val="baseline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 xml:space="preserve">    物权及物权法基础原理；物权法基本原则；物权变动；所有权；用益物权；担保物权；占有</w:t>
      </w:r>
    </w:p>
    <w:p w:rsidR="00E028E8" w:rsidRDefault="00E028E8" w:rsidP="00E028E8">
      <w:pPr>
        <w:widowControl/>
        <w:snapToGrid w:val="0"/>
        <w:spacing w:before="240"/>
        <w:ind w:firstLineChars="147" w:firstLine="412"/>
        <w:textAlignment w:val="baseline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（三）合同</w:t>
      </w:r>
    </w:p>
    <w:p w:rsidR="00E028E8" w:rsidRDefault="00E028E8" w:rsidP="00E028E8">
      <w:pPr>
        <w:widowControl/>
        <w:snapToGrid w:val="0"/>
        <w:spacing w:before="120"/>
        <w:ind w:firstLineChars="200" w:firstLine="560"/>
        <w:textAlignment w:val="baseline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合同及合同法基础原理；合同的订立、成立与生效；合同的效力；合同的履行；合同的保全；合同的变更和转让；合同的权利义务终止；违约责任；十九类典型合同；准合同。</w:t>
      </w:r>
    </w:p>
    <w:p w:rsidR="00E028E8" w:rsidRDefault="00E028E8" w:rsidP="00E028E8">
      <w:pPr>
        <w:widowControl/>
        <w:snapToGrid w:val="0"/>
        <w:spacing w:before="240"/>
        <w:ind w:firstLineChars="147" w:firstLine="412"/>
        <w:textAlignment w:val="baseline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（四）人格权</w:t>
      </w:r>
    </w:p>
    <w:p w:rsidR="00E028E8" w:rsidRDefault="00E028E8" w:rsidP="00E028E8">
      <w:pPr>
        <w:widowControl/>
        <w:snapToGrid w:val="0"/>
        <w:spacing w:before="120"/>
        <w:ind w:firstLineChars="200" w:firstLine="560"/>
        <w:textAlignment w:val="baseline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人格权基础原理；各类具体人格权的内涵及保护。</w:t>
      </w:r>
    </w:p>
    <w:p w:rsidR="00E028E8" w:rsidRDefault="00E028E8" w:rsidP="00E028E8">
      <w:pPr>
        <w:widowControl/>
        <w:snapToGrid w:val="0"/>
        <w:spacing w:before="240"/>
        <w:ind w:firstLineChars="146" w:firstLine="409"/>
        <w:textAlignment w:val="baseline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（五）婚姻家庭与继承</w:t>
      </w:r>
    </w:p>
    <w:p w:rsidR="00E028E8" w:rsidRDefault="00E028E8" w:rsidP="00E028E8">
      <w:pPr>
        <w:widowControl/>
        <w:snapToGrid w:val="0"/>
        <w:spacing w:before="240"/>
        <w:ind w:firstLineChars="146" w:firstLine="409"/>
        <w:textAlignment w:val="baseline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婚姻家庭及继承基础法理；结婚；家庭关系；离婚；收养；法定继承；遗嘱继承和遗赠；遗产的处理。</w:t>
      </w:r>
    </w:p>
    <w:p w:rsidR="00E028E8" w:rsidRDefault="00E028E8" w:rsidP="00E028E8">
      <w:pPr>
        <w:widowControl/>
        <w:snapToGrid w:val="0"/>
        <w:spacing w:before="240"/>
        <w:ind w:firstLineChars="146" w:firstLine="409"/>
        <w:textAlignment w:val="baseline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（六）侵权责任</w:t>
      </w:r>
    </w:p>
    <w:p w:rsidR="00E028E8" w:rsidRDefault="00E028E8" w:rsidP="00E028E8">
      <w:pPr>
        <w:widowControl/>
        <w:snapToGrid w:val="0"/>
        <w:spacing w:before="120"/>
        <w:ind w:firstLineChars="200" w:firstLine="560"/>
        <w:textAlignment w:val="baseline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侵权责任法基础原理；侵权责任的归责原则；侵权责任的成立要件；数人侵权责任；侵权责任的承担与免除；损害赔偿；责任主体的特殊规定；产品责任；机动车交通事故责任；医疗损害责任；环境污染和生态破坏责任；高度危险责任；饲养动物损害责任；建筑物和物件损害责任</w:t>
      </w:r>
    </w:p>
    <w:p w:rsidR="00E028E8" w:rsidRDefault="00E028E8" w:rsidP="00E028E8">
      <w:pPr>
        <w:widowControl/>
        <w:snapToGrid w:val="0"/>
        <w:spacing w:before="240" w:line="360" w:lineRule="auto"/>
        <w:ind w:firstLineChars="150" w:firstLine="482"/>
        <w:textAlignment w:val="baseline"/>
        <w:rPr>
          <w:rFonts w:ascii="楷体_GB2312" w:eastAsia="楷体_GB2312" w:hAnsi="宋体" w:cs="宋体"/>
          <w:b/>
          <w:sz w:val="32"/>
        </w:rPr>
      </w:pPr>
      <w:r>
        <w:rPr>
          <w:rFonts w:ascii="楷体_GB2312" w:eastAsia="楷体_GB2312" w:hAnsi="宋体" w:cs="宋体" w:hint="eastAsia"/>
          <w:b/>
          <w:sz w:val="32"/>
        </w:rPr>
        <w:lastRenderedPageBreak/>
        <w:t>二、主要参考教材</w:t>
      </w:r>
    </w:p>
    <w:p w:rsidR="00E028E8" w:rsidRDefault="00E028E8" w:rsidP="00E028E8">
      <w:pPr>
        <w:widowControl/>
        <w:snapToGrid w:val="0"/>
        <w:ind w:firstLineChars="147" w:firstLine="412"/>
        <w:textAlignment w:val="baseline"/>
        <w:rPr>
          <w:rFonts w:ascii="楷体_GB2312" w:eastAsia="楷体_GB2312" w:hAnsi="宋体" w:cs="宋体"/>
          <w:sz w:val="28"/>
          <w:szCs w:val="28"/>
        </w:rPr>
      </w:pPr>
      <w:r>
        <w:rPr>
          <w:rFonts w:ascii="楷体_GB2312" w:eastAsia="楷体_GB2312" w:hAnsi="宋体" w:cs="宋体" w:hint="eastAsia"/>
          <w:sz w:val="28"/>
          <w:szCs w:val="28"/>
        </w:rPr>
        <w:t>1.</w:t>
      </w:r>
      <w:r>
        <w:rPr>
          <w:rFonts w:ascii="楷体_GB2312" w:eastAsia="楷体_GB2312" w:hint="eastAsia"/>
          <w:bCs/>
          <w:sz w:val="28"/>
          <w:szCs w:val="28"/>
        </w:rPr>
        <w:t>《民法学》编写组：《民法学》（马克思主义理论研究和建设工程重点教材），高等教育出版社2019年版</w:t>
      </w:r>
      <w:r>
        <w:rPr>
          <w:rFonts w:ascii="楷体_GB2312" w:eastAsia="楷体_GB2312" w:hAnsi="宋体" w:cs="宋体" w:hint="eastAsia"/>
          <w:sz w:val="28"/>
          <w:szCs w:val="28"/>
        </w:rPr>
        <w:t>；</w:t>
      </w:r>
    </w:p>
    <w:p w:rsidR="00E028E8" w:rsidRDefault="00E028E8" w:rsidP="00E028E8">
      <w:pPr>
        <w:widowControl/>
        <w:snapToGrid w:val="0"/>
        <w:ind w:firstLineChars="147" w:firstLine="412"/>
        <w:textAlignment w:val="baseline"/>
        <w:rPr>
          <w:rFonts w:ascii="楷体_GB2312" w:eastAsia="楷体_GB2312"/>
          <w:bCs/>
          <w:sz w:val="28"/>
          <w:szCs w:val="28"/>
        </w:rPr>
      </w:pPr>
      <w:r>
        <w:rPr>
          <w:rFonts w:ascii="楷体" w:eastAsia="楷体" w:hAnsi="楷体" w:cs="宋体" w:hint="eastAsia"/>
          <w:sz w:val="28"/>
          <w:szCs w:val="28"/>
        </w:rPr>
        <w:t>2.</w:t>
      </w:r>
      <w:r>
        <w:rPr>
          <w:rFonts w:ascii="楷体_GB2312" w:eastAsia="楷体_GB2312" w:hAnsi="宋体" w:cs="宋体" w:hint="eastAsia"/>
          <w:sz w:val="28"/>
          <w:szCs w:val="28"/>
        </w:rPr>
        <w:t>王利明主编：《民法》（第八版）上下册，中国人民大学出版社2020年版</w:t>
      </w:r>
      <w:r>
        <w:rPr>
          <w:rFonts w:ascii="楷体_GB2312" w:eastAsia="楷体_GB2312" w:hint="eastAsia"/>
          <w:bCs/>
          <w:sz w:val="28"/>
          <w:szCs w:val="28"/>
        </w:rPr>
        <w:t>。</w:t>
      </w:r>
    </w:p>
    <w:p w:rsidR="00E028E8" w:rsidRDefault="00E028E8" w:rsidP="00E028E8">
      <w:pPr>
        <w:widowControl/>
        <w:snapToGrid w:val="0"/>
        <w:spacing w:before="240"/>
        <w:ind w:firstLineChars="147" w:firstLine="412"/>
        <w:textAlignment w:val="baseline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cs="宋体" w:hint="eastAsia"/>
          <w:sz w:val="28"/>
          <w:szCs w:val="28"/>
        </w:rPr>
        <w:t>特别说明：以上参考教材其内容与2020年5月28日通过，2021年1月1日起施行的《中华人民共和国民法典》及其相关法律法规、司法解释规定不一致的，以规定为准。</w:t>
      </w:r>
    </w:p>
    <w:p w:rsidR="0029412A" w:rsidRPr="00E028E8" w:rsidRDefault="0029412A">
      <w:pPr>
        <w:spacing w:line="360" w:lineRule="auto"/>
        <w:rPr>
          <w:rFonts w:ascii="楷体_GB2312" w:eastAsia="楷体_GB2312" w:hAnsi="宋体"/>
          <w:sz w:val="28"/>
          <w:szCs w:val="28"/>
        </w:rPr>
      </w:pPr>
    </w:p>
    <w:p w:rsidR="0029412A" w:rsidRDefault="00EF5E82">
      <w:pPr>
        <w:widowControl/>
        <w:snapToGrid w:val="0"/>
        <w:spacing w:line="360" w:lineRule="auto"/>
        <w:jc w:val="center"/>
        <w:rPr>
          <w:rFonts w:ascii="楷体_GB2312" w:eastAsia="楷体_GB2312" w:hAnsi="宋体" w:cs="宋体"/>
          <w:b/>
          <w:sz w:val="36"/>
        </w:rPr>
      </w:pPr>
      <w:r>
        <w:rPr>
          <w:rFonts w:ascii="楷体_GB2312" w:eastAsia="楷体_GB2312" w:hAnsi="宋体" w:cs="宋体" w:hint="eastAsia"/>
          <w:b/>
          <w:sz w:val="36"/>
        </w:rPr>
        <w:t>《</w:t>
      </w:r>
      <w:r>
        <w:rPr>
          <w:rFonts w:ascii="楷体_GB2312" w:eastAsia="楷体_GB2312" w:hint="eastAsia"/>
          <w:b/>
          <w:sz w:val="36"/>
          <w:szCs w:val="36"/>
        </w:rPr>
        <w:t>刑法学》（50分）科目考试大纲</w:t>
      </w:r>
    </w:p>
    <w:p w:rsidR="0029412A" w:rsidRDefault="00EF5E82">
      <w:pPr>
        <w:widowControl/>
        <w:snapToGrid w:val="0"/>
        <w:spacing w:before="240"/>
        <w:ind w:firstLineChars="200" w:firstLine="562"/>
        <w:outlineLvl w:val="0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Ansi="宋体" w:cs="宋体" w:hint="eastAsia"/>
          <w:b/>
          <w:kern w:val="0"/>
          <w:sz w:val="28"/>
          <w:szCs w:val="28"/>
        </w:rPr>
        <w:t>一、</w:t>
      </w:r>
      <w:r>
        <w:rPr>
          <w:rFonts w:ascii="楷体_GB2312" w:eastAsia="楷体_GB2312" w:hint="eastAsia"/>
          <w:b/>
          <w:bCs/>
          <w:sz w:val="28"/>
          <w:szCs w:val="28"/>
        </w:rPr>
        <w:t>涵盖范围及基本内容</w:t>
      </w:r>
    </w:p>
    <w:p w:rsidR="0029412A" w:rsidRDefault="00EF5E82">
      <w:pPr>
        <w:widowControl/>
        <w:snapToGrid w:val="0"/>
        <w:spacing w:before="240"/>
        <w:outlineLvl w:val="0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 xml:space="preserve">  </w:t>
      </w:r>
      <w:r>
        <w:rPr>
          <w:rFonts w:ascii="楷体_GB2312" w:eastAsia="楷体_GB2312" w:hint="eastAsia"/>
          <w:bCs/>
          <w:sz w:val="28"/>
          <w:szCs w:val="28"/>
        </w:rPr>
        <w:t xml:space="preserve"> （一）刑法基础理论</w:t>
      </w:r>
    </w:p>
    <w:p w:rsidR="0029412A" w:rsidRDefault="00EF5E82">
      <w:pPr>
        <w:widowControl/>
        <w:snapToGrid w:val="0"/>
        <w:spacing w:before="240"/>
        <w:outlineLvl w:val="0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 xml:space="preserve">    刑法概念；刑法的基本原则；刑法的效力；刑法解释技巧和理由</w:t>
      </w:r>
    </w:p>
    <w:p w:rsidR="0029412A" w:rsidRDefault="00EF5E82">
      <w:pPr>
        <w:widowControl/>
        <w:snapToGrid w:val="0"/>
        <w:spacing w:before="240"/>
        <w:ind w:firstLineChars="147" w:firstLine="412"/>
        <w:outlineLvl w:val="0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（二）犯罪论</w:t>
      </w:r>
    </w:p>
    <w:p w:rsidR="0029412A" w:rsidRDefault="00EF5E82">
      <w:pPr>
        <w:widowControl/>
        <w:snapToGrid w:val="0"/>
        <w:spacing w:before="240"/>
        <w:outlineLvl w:val="0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 xml:space="preserve">   犯罪的概说；犯罪构成要件理论；违法构成要件；</w:t>
      </w:r>
      <w:proofErr w:type="gramStart"/>
      <w:r>
        <w:rPr>
          <w:rFonts w:ascii="楷体_GB2312" w:eastAsia="楷体_GB2312" w:hint="eastAsia"/>
          <w:bCs/>
          <w:sz w:val="28"/>
          <w:szCs w:val="28"/>
        </w:rPr>
        <w:t>违法阻却事由</w:t>
      </w:r>
      <w:proofErr w:type="gramEnd"/>
      <w:r>
        <w:rPr>
          <w:rFonts w:ascii="楷体_GB2312" w:eastAsia="楷体_GB2312" w:hint="eastAsia"/>
          <w:bCs/>
          <w:sz w:val="28"/>
          <w:szCs w:val="28"/>
        </w:rPr>
        <w:t>；责任要件；</w:t>
      </w:r>
      <w:proofErr w:type="gramStart"/>
      <w:r>
        <w:rPr>
          <w:rFonts w:ascii="楷体_GB2312" w:eastAsia="楷体_GB2312" w:hint="eastAsia"/>
          <w:bCs/>
          <w:sz w:val="28"/>
          <w:szCs w:val="28"/>
        </w:rPr>
        <w:t>责任阻却事由</w:t>
      </w:r>
      <w:proofErr w:type="gramEnd"/>
      <w:r>
        <w:rPr>
          <w:rFonts w:ascii="楷体_GB2312" w:eastAsia="楷体_GB2312" w:hint="eastAsia"/>
          <w:bCs/>
          <w:sz w:val="28"/>
          <w:szCs w:val="28"/>
        </w:rPr>
        <w:t>；犯罪的特殊形态；共同犯罪；罪数</w:t>
      </w:r>
    </w:p>
    <w:p w:rsidR="0029412A" w:rsidRDefault="00EF5E82">
      <w:pPr>
        <w:widowControl/>
        <w:snapToGrid w:val="0"/>
        <w:spacing w:before="240"/>
        <w:ind w:firstLineChars="146" w:firstLine="409"/>
        <w:outlineLvl w:val="0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（三）刑罚论</w:t>
      </w:r>
    </w:p>
    <w:p w:rsidR="0029412A" w:rsidRDefault="00EF5E82">
      <w:pPr>
        <w:widowControl/>
        <w:snapToGrid w:val="0"/>
        <w:spacing w:before="240"/>
        <w:ind w:firstLineChars="146" w:firstLine="409"/>
        <w:outlineLvl w:val="0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 xml:space="preserve">刑罚观念；刑罚体系；刑罚裁量；刑罚的执行；非刑罚的法律后果；法律后果的消灭   </w:t>
      </w:r>
    </w:p>
    <w:p w:rsidR="0029412A" w:rsidRDefault="00EF5E82">
      <w:pPr>
        <w:widowControl/>
        <w:snapToGrid w:val="0"/>
        <w:spacing w:before="240"/>
        <w:ind w:firstLineChars="147" w:firstLine="412"/>
        <w:outlineLvl w:val="0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（四）刑法分论</w:t>
      </w:r>
    </w:p>
    <w:p w:rsidR="0029412A" w:rsidRDefault="00EF5E82">
      <w:pPr>
        <w:widowControl/>
        <w:snapToGrid w:val="0"/>
        <w:spacing w:before="240"/>
        <w:ind w:firstLineChars="147" w:firstLine="412"/>
        <w:outlineLvl w:val="0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危害国家安全罪；危害公共安全罪；侵犯公民人身权利罪；破坏社会主义市场经济秩序罪；侵犯财产罪；妨害社会管理秩序罪；贪污贿赂罪；渎职罪</w:t>
      </w:r>
    </w:p>
    <w:p w:rsidR="0029412A" w:rsidRDefault="00EF5E82">
      <w:pPr>
        <w:widowControl/>
        <w:snapToGrid w:val="0"/>
        <w:spacing w:before="240" w:line="360" w:lineRule="auto"/>
        <w:ind w:firstLineChars="200" w:firstLine="643"/>
        <w:outlineLvl w:val="0"/>
        <w:rPr>
          <w:rFonts w:ascii="楷体_GB2312" w:eastAsia="楷体_GB2312" w:hAnsi="宋体" w:cs="宋体"/>
          <w:b/>
          <w:sz w:val="32"/>
        </w:rPr>
      </w:pPr>
      <w:r>
        <w:rPr>
          <w:rFonts w:ascii="楷体_GB2312" w:eastAsia="楷体_GB2312" w:hAnsi="宋体" w:cs="宋体" w:hint="eastAsia"/>
          <w:b/>
          <w:sz w:val="32"/>
        </w:rPr>
        <w:t>二、主要参考教材</w:t>
      </w:r>
    </w:p>
    <w:p w:rsidR="0029412A" w:rsidRDefault="00EF5E82">
      <w:pPr>
        <w:widowControl/>
        <w:snapToGrid w:val="0"/>
        <w:spacing w:before="240"/>
        <w:ind w:firstLineChars="200" w:firstLine="560"/>
        <w:outlineLvl w:val="0"/>
        <w:rPr>
          <w:rFonts w:ascii="楷体_GB2312" w:eastAsia="楷体_GB2312" w:hAnsi="宋体" w:cs="宋体"/>
          <w:sz w:val="28"/>
          <w:szCs w:val="28"/>
        </w:rPr>
      </w:pPr>
      <w:r>
        <w:rPr>
          <w:rFonts w:ascii="楷体_GB2312" w:eastAsia="楷体_GB2312" w:hAnsi="宋体" w:cs="宋体" w:hint="eastAsia"/>
          <w:sz w:val="28"/>
          <w:szCs w:val="28"/>
        </w:rPr>
        <w:t>1.</w:t>
      </w:r>
      <w:r>
        <w:rPr>
          <w:rFonts w:ascii="楷体_GB2312" w:eastAsia="楷体_GB2312" w:hint="eastAsia"/>
          <w:bCs/>
          <w:sz w:val="28"/>
          <w:szCs w:val="28"/>
        </w:rPr>
        <w:t>《刑法学》编写组：《刑法学》，高等教育出版社2019年版</w:t>
      </w:r>
      <w:r>
        <w:rPr>
          <w:rFonts w:ascii="楷体_GB2312" w:eastAsia="楷体_GB2312" w:hAnsi="宋体" w:cs="宋体" w:hint="eastAsia"/>
          <w:sz w:val="28"/>
          <w:szCs w:val="28"/>
        </w:rPr>
        <w:t>；</w:t>
      </w:r>
    </w:p>
    <w:p w:rsidR="0029412A" w:rsidRDefault="00EF5E82">
      <w:pPr>
        <w:widowControl/>
        <w:snapToGrid w:val="0"/>
        <w:spacing w:line="360" w:lineRule="auto"/>
        <w:ind w:firstLineChars="200" w:firstLine="560"/>
        <w:outlineLvl w:val="0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Ansi="宋体" w:cs="宋体" w:hint="eastAsia"/>
          <w:sz w:val="28"/>
          <w:szCs w:val="28"/>
        </w:rPr>
        <w:lastRenderedPageBreak/>
        <w:t>2.张明楷：《刑法学》（上、下册）（第</w:t>
      </w:r>
      <w:r w:rsidR="007324BC">
        <w:rPr>
          <w:rFonts w:ascii="楷体_GB2312" w:eastAsia="楷体_GB2312" w:hAnsi="宋体" w:cs="宋体" w:hint="eastAsia"/>
          <w:sz w:val="28"/>
          <w:szCs w:val="28"/>
        </w:rPr>
        <w:t>六</w:t>
      </w:r>
      <w:r>
        <w:rPr>
          <w:rFonts w:ascii="楷体_GB2312" w:eastAsia="楷体_GB2312" w:hAnsi="宋体" w:cs="宋体" w:hint="eastAsia"/>
          <w:sz w:val="28"/>
          <w:szCs w:val="28"/>
        </w:rPr>
        <w:t>版），法律出版社20</w:t>
      </w:r>
      <w:r w:rsidR="007324BC">
        <w:rPr>
          <w:rFonts w:ascii="楷体_GB2312" w:eastAsia="楷体_GB2312" w:hAnsi="宋体" w:cs="宋体"/>
          <w:sz w:val="28"/>
          <w:szCs w:val="28"/>
        </w:rPr>
        <w:t>21</w:t>
      </w:r>
      <w:r>
        <w:rPr>
          <w:rFonts w:ascii="楷体_GB2312" w:eastAsia="楷体_GB2312" w:hAnsi="宋体" w:cs="宋体" w:hint="eastAsia"/>
          <w:sz w:val="28"/>
          <w:szCs w:val="28"/>
        </w:rPr>
        <w:t>年版</w:t>
      </w:r>
      <w:r>
        <w:rPr>
          <w:rFonts w:ascii="楷体_GB2312" w:eastAsia="楷体_GB2312" w:hint="eastAsia"/>
          <w:bCs/>
          <w:sz w:val="28"/>
          <w:szCs w:val="28"/>
        </w:rPr>
        <w:t>。</w:t>
      </w:r>
    </w:p>
    <w:p w:rsidR="0029412A" w:rsidRDefault="0029412A" w:rsidP="008864BB">
      <w:pPr>
        <w:widowControl/>
        <w:snapToGrid w:val="0"/>
        <w:spacing w:before="240"/>
        <w:ind w:firstLineChars="147" w:firstLine="412"/>
        <w:jc w:val="center"/>
        <w:outlineLvl w:val="0"/>
        <w:rPr>
          <w:rFonts w:ascii="楷体_GB2312" w:eastAsia="楷体_GB2312" w:hAnsi="宋体" w:cs="宋体"/>
          <w:sz w:val="28"/>
          <w:szCs w:val="28"/>
        </w:rPr>
      </w:pPr>
    </w:p>
    <w:p w:rsidR="0029412A" w:rsidRDefault="0029412A">
      <w:pPr>
        <w:widowControl/>
        <w:snapToGrid w:val="0"/>
        <w:spacing w:line="360" w:lineRule="auto"/>
        <w:jc w:val="center"/>
        <w:rPr>
          <w:rFonts w:ascii="楷体_GB2312" w:eastAsia="楷体_GB2312" w:hAnsi="宋体" w:cs="宋体"/>
          <w:b/>
          <w:sz w:val="36"/>
        </w:rPr>
      </w:pPr>
    </w:p>
    <w:p w:rsidR="0029412A" w:rsidRDefault="00EF5E82">
      <w:pPr>
        <w:widowControl/>
        <w:snapToGrid w:val="0"/>
        <w:spacing w:line="360" w:lineRule="auto"/>
        <w:jc w:val="center"/>
        <w:rPr>
          <w:rFonts w:ascii="楷体_GB2312" w:eastAsia="楷体_GB2312" w:hAnsi="宋体" w:cs="宋体"/>
          <w:b/>
          <w:sz w:val="36"/>
        </w:rPr>
      </w:pPr>
      <w:r>
        <w:rPr>
          <w:rFonts w:ascii="楷体_GB2312" w:eastAsia="楷体_GB2312" w:hAnsi="宋体" w:cs="宋体" w:hint="eastAsia"/>
          <w:b/>
          <w:sz w:val="36"/>
        </w:rPr>
        <w:t>《</w:t>
      </w:r>
      <w:r>
        <w:rPr>
          <w:rFonts w:ascii="楷体_GB2312" w:eastAsia="楷体_GB2312" w:hint="eastAsia"/>
          <w:b/>
          <w:sz w:val="36"/>
          <w:szCs w:val="36"/>
        </w:rPr>
        <w:t>经济法学》科目考试大纲（50分）</w:t>
      </w:r>
    </w:p>
    <w:p w:rsidR="0029412A" w:rsidRDefault="00EF5E82">
      <w:pPr>
        <w:widowControl/>
        <w:snapToGrid w:val="0"/>
        <w:spacing w:line="360" w:lineRule="auto"/>
        <w:ind w:firstLineChars="200" w:firstLine="562"/>
        <w:outlineLvl w:val="0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一、涵盖范围及基本内容</w:t>
      </w:r>
    </w:p>
    <w:p w:rsidR="0029412A" w:rsidRDefault="00EF5E82">
      <w:pPr>
        <w:widowControl/>
        <w:snapToGrid w:val="0"/>
        <w:spacing w:line="360" w:lineRule="auto"/>
        <w:outlineLvl w:val="0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 xml:space="preserve">   （一）经济法总论</w:t>
      </w:r>
    </w:p>
    <w:p w:rsidR="0029412A" w:rsidRDefault="00EF5E82">
      <w:pPr>
        <w:widowControl/>
        <w:snapToGrid w:val="0"/>
        <w:spacing w:line="360" w:lineRule="auto"/>
        <w:ind w:firstLineChars="200" w:firstLine="560"/>
        <w:outlineLvl w:val="0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经济法学的研究对象；</w:t>
      </w:r>
      <w:r>
        <w:rPr>
          <w:rFonts w:ascii="楷体_GB2312" w:eastAsia="楷体_GB2312"/>
          <w:bCs/>
          <w:sz w:val="28"/>
          <w:szCs w:val="28"/>
        </w:rPr>
        <w:t>经济法学的产生</w:t>
      </w:r>
      <w:r>
        <w:rPr>
          <w:rFonts w:ascii="楷体_GB2312" w:eastAsia="楷体_GB2312" w:hint="eastAsia"/>
          <w:bCs/>
          <w:sz w:val="28"/>
          <w:szCs w:val="28"/>
        </w:rPr>
        <w:t>和发展；</w:t>
      </w:r>
      <w:r>
        <w:rPr>
          <w:rFonts w:ascii="楷体_GB2312" w:eastAsia="楷体_GB2312"/>
          <w:bCs/>
          <w:sz w:val="28"/>
          <w:szCs w:val="28"/>
        </w:rPr>
        <w:t>经济法的概念</w:t>
      </w:r>
      <w:r>
        <w:rPr>
          <w:rFonts w:ascii="楷体_GB2312" w:eastAsia="楷体_GB2312" w:hint="eastAsia"/>
          <w:bCs/>
          <w:sz w:val="28"/>
          <w:szCs w:val="28"/>
        </w:rPr>
        <w:t>；</w:t>
      </w:r>
      <w:r>
        <w:rPr>
          <w:rFonts w:ascii="楷体_GB2312" w:eastAsia="楷体_GB2312"/>
          <w:bCs/>
          <w:sz w:val="28"/>
          <w:szCs w:val="28"/>
        </w:rPr>
        <w:t>经济法的体系</w:t>
      </w:r>
      <w:r>
        <w:rPr>
          <w:rFonts w:ascii="楷体_GB2312" w:eastAsia="楷体_GB2312" w:hint="eastAsia"/>
          <w:bCs/>
          <w:sz w:val="28"/>
          <w:szCs w:val="28"/>
        </w:rPr>
        <w:t>；</w:t>
      </w:r>
      <w:r>
        <w:rPr>
          <w:rFonts w:ascii="楷体_GB2312" w:eastAsia="楷体_GB2312"/>
          <w:bCs/>
          <w:sz w:val="28"/>
          <w:szCs w:val="28"/>
        </w:rPr>
        <w:t>经济法的</w:t>
      </w:r>
      <w:r>
        <w:rPr>
          <w:rFonts w:ascii="楷体_GB2312" w:eastAsia="楷体_GB2312" w:hint="eastAsia"/>
          <w:bCs/>
          <w:sz w:val="28"/>
          <w:szCs w:val="28"/>
        </w:rPr>
        <w:t>基本</w:t>
      </w:r>
      <w:r>
        <w:rPr>
          <w:rFonts w:ascii="楷体_GB2312" w:eastAsia="楷体_GB2312"/>
          <w:bCs/>
          <w:sz w:val="28"/>
          <w:szCs w:val="28"/>
        </w:rPr>
        <w:t>原则</w:t>
      </w:r>
      <w:r>
        <w:rPr>
          <w:rFonts w:ascii="楷体_GB2312" w:eastAsia="楷体_GB2312" w:hint="eastAsia"/>
          <w:bCs/>
          <w:sz w:val="28"/>
          <w:szCs w:val="28"/>
        </w:rPr>
        <w:t>和宗旨；</w:t>
      </w:r>
      <w:r>
        <w:rPr>
          <w:rFonts w:ascii="楷体_GB2312" w:eastAsia="楷体_GB2312"/>
          <w:bCs/>
          <w:sz w:val="28"/>
          <w:szCs w:val="28"/>
        </w:rPr>
        <w:t>经济法主体</w:t>
      </w:r>
      <w:r>
        <w:rPr>
          <w:rFonts w:ascii="楷体_GB2312" w:eastAsia="楷体_GB2312" w:hint="eastAsia"/>
          <w:bCs/>
          <w:sz w:val="28"/>
          <w:szCs w:val="28"/>
        </w:rPr>
        <w:t>；经济法</w:t>
      </w:r>
      <w:r>
        <w:rPr>
          <w:rFonts w:ascii="楷体_GB2312" w:eastAsia="楷体_GB2312"/>
          <w:bCs/>
          <w:sz w:val="28"/>
          <w:szCs w:val="28"/>
        </w:rPr>
        <w:t>行为</w:t>
      </w:r>
      <w:r>
        <w:rPr>
          <w:rFonts w:ascii="楷体_GB2312" w:eastAsia="楷体_GB2312" w:hint="eastAsia"/>
          <w:bCs/>
          <w:sz w:val="28"/>
          <w:szCs w:val="28"/>
        </w:rPr>
        <w:t>；经济法的价值取向；经济法的基本功能；经济法律关系。</w:t>
      </w:r>
    </w:p>
    <w:p w:rsidR="0029412A" w:rsidRDefault="00EF5E82">
      <w:pPr>
        <w:widowControl/>
        <w:snapToGrid w:val="0"/>
        <w:spacing w:line="360" w:lineRule="auto"/>
        <w:ind w:firstLineChars="200" w:firstLine="560"/>
        <w:outlineLvl w:val="0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（二）宏观调控法律制度</w:t>
      </w:r>
    </w:p>
    <w:p w:rsidR="0029412A" w:rsidRDefault="00EF5E82">
      <w:pPr>
        <w:widowControl/>
        <w:snapToGrid w:val="0"/>
        <w:spacing w:line="360" w:lineRule="auto"/>
        <w:ind w:firstLineChars="200" w:firstLine="560"/>
        <w:outlineLvl w:val="0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 xml:space="preserve">宏观调控法概述；金融调控法律制度；价格调控法律制度；财税调控法律制度；计划调控法律制度；金融监管法律制度。  </w:t>
      </w:r>
    </w:p>
    <w:p w:rsidR="0029412A" w:rsidRDefault="00EF5E82">
      <w:pPr>
        <w:widowControl/>
        <w:snapToGrid w:val="0"/>
        <w:spacing w:line="360" w:lineRule="auto"/>
        <w:ind w:firstLineChars="200" w:firstLine="560"/>
        <w:outlineLvl w:val="0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（三）市场规制法律制度</w:t>
      </w:r>
    </w:p>
    <w:p w:rsidR="0029412A" w:rsidRDefault="00EF5E82">
      <w:pPr>
        <w:widowControl/>
        <w:snapToGrid w:val="0"/>
        <w:spacing w:line="360" w:lineRule="auto"/>
        <w:outlineLvl w:val="0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 xml:space="preserve">    市场规制法概论 ；产品的定义；产品质量；产品质量监督管理制度；产品质量责任；消费者；消费者权利；经营者义务；不正当竞争行为及其认定和责任；反垄断法；广告法。</w:t>
      </w:r>
    </w:p>
    <w:p w:rsidR="0029412A" w:rsidRDefault="00EF5E82">
      <w:pPr>
        <w:widowControl/>
        <w:snapToGrid w:val="0"/>
        <w:spacing w:line="360" w:lineRule="auto"/>
        <w:ind w:firstLineChars="150" w:firstLine="422"/>
        <w:outlineLvl w:val="0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二、参考教材</w:t>
      </w:r>
    </w:p>
    <w:p w:rsidR="0029412A" w:rsidRDefault="00EF5E82">
      <w:pPr>
        <w:widowControl/>
        <w:snapToGrid w:val="0"/>
        <w:spacing w:line="360" w:lineRule="auto"/>
        <w:ind w:firstLineChars="200" w:firstLine="560"/>
        <w:outlineLvl w:val="0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（一）《经济法学》编写组：《经济法学》，高等教育出版社</w:t>
      </w:r>
      <w:r w:rsidR="00754567">
        <w:rPr>
          <w:rFonts w:ascii="楷体_GB2312" w:eastAsia="楷体_GB2312" w:hint="eastAsia"/>
          <w:bCs/>
          <w:sz w:val="28"/>
          <w:szCs w:val="28"/>
        </w:rPr>
        <w:t>20</w:t>
      </w:r>
      <w:r w:rsidR="00863EBF">
        <w:rPr>
          <w:rFonts w:ascii="楷体_GB2312" w:eastAsia="楷体_GB2312"/>
          <w:bCs/>
          <w:sz w:val="28"/>
          <w:szCs w:val="28"/>
        </w:rPr>
        <w:t>22</w:t>
      </w:r>
      <w:r w:rsidR="00754567">
        <w:rPr>
          <w:rFonts w:ascii="楷体_GB2312" w:eastAsia="楷体_GB2312" w:hint="eastAsia"/>
          <w:bCs/>
          <w:sz w:val="28"/>
          <w:szCs w:val="28"/>
        </w:rPr>
        <w:t>年第</w:t>
      </w:r>
      <w:r w:rsidR="00863EBF">
        <w:rPr>
          <w:rFonts w:ascii="楷体_GB2312" w:eastAsia="楷体_GB2312" w:hint="eastAsia"/>
          <w:bCs/>
          <w:sz w:val="28"/>
          <w:szCs w:val="28"/>
        </w:rPr>
        <w:t>三</w:t>
      </w:r>
      <w:r>
        <w:rPr>
          <w:rFonts w:ascii="楷体_GB2312" w:eastAsia="楷体_GB2312" w:hint="eastAsia"/>
          <w:bCs/>
          <w:sz w:val="28"/>
          <w:szCs w:val="28"/>
        </w:rPr>
        <w:t>版；</w:t>
      </w:r>
    </w:p>
    <w:p w:rsidR="0029412A" w:rsidRDefault="00EF5E82">
      <w:pPr>
        <w:widowControl/>
        <w:snapToGrid w:val="0"/>
        <w:spacing w:line="360" w:lineRule="auto"/>
        <w:ind w:firstLineChars="200" w:firstLine="560"/>
        <w:outlineLvl w:val="0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（二）李昌麒主编：《经济法学》，法律出版社2016年第三版。</w:t>
      </w:r>
    </w:p>
    <w:p w:rsidR="0029412A" w:rsidRDefault="0029412A"/>
    <w:sectPr w:rsidR="00294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443F" w:rsidRDefault="00E9443F" w:rsidP="00615753">
      <w:r>
        <w:separator/>
      </w:r>
    </w:p>
  </w:endnote>
  <w:endnote w:type="continuationSeparator" w:id="0">
    <w:p w:rsidR="00E9443F" w:rsidRDefault="00E9443F" w:rsidP="0061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443F" w:rsidRDefault="00E9443F" w:rsidP="00615753">
      <w:r>
        <w:separator/>
      </w:r>
    </w:p>
  </w:footnote>
  <w:footnote w:type="continuationSeparator" w:id="0">
    <w:p w:rsidR="00E9443F" w:rsidRDefault="00E9443F" w:rsidP="00615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C3E2CE6"/>
    <w:rsid w:val="0029412A"/>
    <w:rsid w:val="002D58BB"/>
    <w:rsid w:val="00615753"/>
    <w:rsid w:val="00707C1C"/>
    <w:rsid w:val="007324BC"/>
    <w:rsid w:val="00754567"/>
    <w:rsid w:val="007C440E"/>
    <w:rsid w:val="00863EBF"/>
    <w:rsid w:val="008864BB"/>
    <w:rsid w:val="008B4B7A"/>
    <w:rsid w:val="009159BE"/>
    <w:rsid w:val="00A33142"/>
    <w:rsid w:val="00B65DD1"/>
    <w:rsid w:val="00E028E8"/>
    <w:rsid w:val="00E9443F"/>
    <w:rsid w:val="00EF5E82"/>
    <w:rsid w:val="00FA7604"/>
    <w:rsid w:val="07C85D4A"/>
    <w:rsid w:val="0C3E2CE6"/>
    <w:rsid w:val="124D33AA"/>
    <w:rsid w:val="1CB9612A"/>
    <w:rsid w:val="2A800131"/>
    <w:rsid w:val="2A9C43AF"/>
    <w:rsid w:val="30CF1823"/>
    <w:rsid w:val="3CE54A65"/>
    <w:rsid w:val="49F76D0A"/>
    <w:rsid w:val="59C7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F84E8B"/>
  <w15:docId w15:val="{E4F75F8D-82FD-47E1-8B5C-76ABEAA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5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157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15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157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2020-08-31T01:39:00Z</cp:lastPrinted>
  <dcterms:created xsi:type="dcterms:W3CDTF">2017-09-01T02:00:00Z</dcterms:created>
  <dcterms:modified xsi:type="dcterms:W3CDTF">2023-06-12T02:28:00Z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